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EA" w:rsidRDefault="00A64638" w:rsidP="00A64638">
      <w:pPr>
        <w:pStyle w:val="Titel"/>
      </w:pPr>
      <w:r>
        <w:t>LIFE CYCLES</w:t>
      </w:r>
      <w:bookmarkStart w:id="0" w:name="_GoBack"/>
      <w:bookmarkEnd w:id="0"/>
    </w:p>
    <w:p w:rsidR="00A64638" w:rsidRDefault="00A64638" w:rsidP="00A64638">
      <w:pPr>
        <w:rPr>
          <w:b/>
        </w:rPr>
      </w:pPr>
      <w:r w:rsidRPr="00A64638">
        <w:rPr>
          <w:b/>
        </w:rPr>
        <w:t>Stel je wilt voor een werknemer inzichtelijk maken wat de opbrengsten zijn bij 3 verschillende Life Cycli</w:t>
      </w:r>
      <w:r>
        <w:rPr>
          <w:b/>
        </w:rPr>
        <w:t>?</w:t>
      </w:r>
    </w:p>
    <w:p w:rsidR="00A64638" w:rsidRDefault="00A64638" w:rsidP="00A64638">
      <w:pPr>
        <w:rPr>
          <w:b/>
        </w:rPr>
      </w:pPr>
    </w:p>
    <w:p w:rsidR="00A64638" w:rsidRDefault="00A64638" w:rsidP="00A64638">
      <w:pPr>
        <w:rPr>
          <w:b/>
        </w:rPr>
      </w:pPr>
      <w:r>
        <w:rPr>
          <w:b/>
        </w:rPr>
        <w:t>Stap 1.</w:t>
      </w:r>
    </w:p>
    <w:p w:rsidR="00A64638" w:rsidRDefault="00A64638" w:rsidP="00A64638">
      <w:r>
        <w:t>Download op de Help omgeving het Cycli sjabloon (Excel)</w:t>
      </w:r>
    </w:p>
    <w:p w:rsidR="00A64638" w:rsidRDefault="00A64638" w:rsidP="00840734">
      <w:pPr>
        <w:jc w:val="center"/>
      </w:pPr>
      <w:r>
        <w:rPr>
          <w:noProof/>
          <w:lang w:eastAsia="nl-NL"/>
        </w:rPr>
        <w:drawing>
          <wp:inline distT="0" distB="0" distL="0" distR="0" wp14:anchorId="233EDD0A" wp14:editId="3DB292BD">
            <wp:extent cx="3324225" cy="704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63 Nov. 08 14.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38" w:rsidRDefault="00A64638" w:rsidP="00A64638">
      <w:r>
        <w:t xml:space="preserve">U kunt dit vinden door de zoekopdracht “Life </w:t>
      </w:r>
      <w:proofErr w:type="spellStart"/>
      <w:r>
        <w:t>Cycles</w:t>
      </w:r>
      <w:proofErr w:type="spellEnd"/>
      <w:r>
        <w:t>” in te vullen.</w:t>
      </w:r>
    </w:p>
    <w:p w:rsidR="00A64638" w:rsidRDefault="00A64638" w:rsidP="00A64638">
      <w:r>
        <w:t>Dit rekensjabloon gaat zo dadelijk de berekening overnemen van de standaard inregelmogelijkheden binnen EBLINC.</w:t>
      </w:r>
    </w:p>
    <w:p w:rsidR="00A64638" w:rsidRDefault="00A64638" w:rsidP="00A64638">
      <w:r>
        <w:t>Van belang dus dat je berekening in eerste instantie op de (onderliggende) Excel het goed doet.</w:t>
      </w:r>
    </w:p>
    <w:p w:rsidR="00A64638" w:rsidRDefault="00A64638" w:rsidP="00A64638">
      <w:r w:rsidRPr="00A64638">
        <w:rPr>
          <w:b/>
        </w:rPr>
        <w:t>Stap 2</w:t>
      </w:r>
      <w:r>
        <w:t>.</w:t>
      </w:r>
    </w:p>
    <w:p w:rsidR="00A64638" w:rsidRDefault="00A64638" w:rsidP="00A64638">
      <w:r>
        <w:t>De Excel heeft een aantal tabbladen:</w:t>
      </w:r>
    </w:p>
    <w:p w:rsidR="00A64638" w:rsidRDefault="00A64638" w:rsidP="00A64638">
      <w:r>
        <w:rPr>
          <w:noProof/>
          <w:lang w:eastAsia="nl-NL"/>
        </w:rPr>
        <w:drawing>
          <wp:inline distT="0" distB="0" distL="0" distR="0" wp14:anchorId="20CE889D" wp14:editId="2CF769B5">
            <wp:extent cx="5731510" cy="1573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A64638" w:rsidTr="00A64638">
        <w:tc>
          <w:tcPr>
            <w:tcW w:w="3055" w:type="dxa"/>
          </w:tcPr>
          <w:p w:rsidR="00A64638" w:rsidRPr="00A64638" w:rsidRDefault="00A64638" w:rsidP="00A6463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64638">
              <w:rPr>
                <w:b/>
                <w:color w:val="0070C0"/>
                <w:sz w:val="18"/>
                <w:szCs w:val="18"/>
              </w:rPr>
              <w:t>TABBLAD</w:t>
            </w:r>
          </w:p>
        </w:tc>
        <w:tc>
          <w:tcPr>
            <w:tcW w:w="3055" w:type="dxa"/>
          </w:tcPr>
          <w:p w:rsidR="00A64638" w:rsidRPr="00A64638" w:rsidRDefault="00A64638" w:rsidP="00A6463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64638">
              <w:rPr>
                <w:b/>
                <w:color w:val="0070C0"/>
                <w:sz w:val="18"/>
                <w:szCs w:val="18"/>
              </w:rPr>
              <w:t>FUNCTIE</w:t>
            </w:r>
          </w:p>
        </w:tc>
        <w:tc>
          <w:tcPr>
            <w:tcW w:w="3056" w:type="dxa"/>
          </w:tcPr>
          <w:p w:rsidR="00A64638" w:rsidRPr="00A64638" w:rsidRDefault="00A64638" w:rsidP="00A6463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A64638">
              <w:rPr>
                <w:b/>
                <w:color w:val="0070C0"/>
                <w:sz w:val="18"/>
                <w:szCs w:val="18"/>
              </w:rPr>
              <w:t>WAT TE DOEN</w:t>
            </w:r>
          </w:p>
        </w:tc>
      </w:tr>
      <w:tr w:rsidR="00A64638" w:rsidTr="00A64638">
        <w:tc>
          <w:tcPr>
            <w:tcW w:w="3055" w:type="dxa"/>
          </w:tcPr>
          <w:p w:rsidR="00A64638" w:rsidRDefault="00A64638" w:rsidP="00A64638">
            <w:r>
              <w:t>Output</w:t>
            </w:r>
          </w:p>
        </w:tc>
        <w:tc>
          <w:tcPr>
            <w:tcW w:w="3055" w:type="dxa"/>
          </w:tcPr>
          <w:p w:rsidR="00A64638" w:rsidRDefault="00A64638" w:rsidP="00A64638">
            <w:r>
              <w:t>Deze data wordt teruggegeven aan de applicatie (dus zichtbaar op de schermen)</w:t>
            </w:r>
          </w:p>
        </w:tc>
        <w:tc>
          <w:tcPr>
            <w:tcW w:w="3056" w:type="dxa"/>
          </w:tcPr>
          <w:p w:rsidR="00A64638" w:rsidRDefault="00A64638" w:rsidP="00A64638"/>
        </w:tc>
      </w:tr>
      <w:tr w:rsidR="00A64638" w:rsidTr="00A64638">
        <w:tc>
          <w:tcPr>
            <w:tcW w:w="3055" w:type="dxa"/>
          </w:tcPr>
          <w:p w:rsidR="00A64638" w:rsidRDefault="00A64638" w:rsidP="00A64638">
            <w:r>
              <w:t>Input</w:t>
            </w:r>
          </w:p>
        </w:tc>
        <w:tc>
          <w:tcPr>
            <w:tcW w:w="3055" w:type="dxa"/>
          </w:tcPr>
          <w:p w:rsidR="00A64638" w:rsidRDefault="00A64638" w:rsidP="00A64638">
            <w:r>
              <w:t>Deze velden worden vanuit EBLINC gevuld en zijn de variabele input velden</w:t>
            </w:r>
          </w:p>
        </w:tc>
        <w:tc>
          <w:tcPr>
            <w:tcW w:w="3056" w:type="dxa"/>
          </w:tcPr>
          <w:p w:rsidR="00A64638" w:rsidRDefault="00A64638" w:rsidP="00A64638"/>
        </w:tc>
      </w:tr>
      <w:tr w:rsidR="00A64638" w:rsidTr="00A64638">
        <w:tc>
          <w:tcPr>
            <w:tcW w:w="3055" w:type="dxa"/>
          </w:tcPr>
          <w:p w:rsidR="00A64638" w:rsidRDefault="00A64638" w:rsidP="00A64638">
            <w:r>
              <w:t xml:space="preserve">Invoer Life </w:t>
            </w:r>
            <w:proofErr w:type="spellStart"/>
            <w:r>
              <w:t>Cycles</w:t>
            </w:r>
            <w:proofErr w:type="spellEnd"/>
            <w:r>
              <w:t xml:space="preserve"> (LC)</w:t>
            </w:r>
            <w:r w:rsidR="00840734">
              <w:t xml:space="preserve"> (1)</w:t>
            </w:r>
          </w:p>
        </w:tc>
        <w:tc>
          <w:tcPr>
            <w:tcW w:w="3055" w:type="dxa"/>
          </w:tcPr>
          <w:p w:rsidR="00A64638" w:rsidRDefault="00A64638" w:rsidP="00A64638">
            <w:r>
              <w:t>Doorrekenen van de premie o.b.v. 3 LC staffels</w:t>
            </w:r>
          </w:p>
        </w:tc>
        <w:tc>
          <w:tcPr>
            <w:tcW w:w="3056" w:type="dxa"/>
          </w:tcPr>
          <w:p w:rsidR="00A64638" w:rsidRPr="00A64638" w:rsidRDefault="00A64638" w:rsidP="00A64638">
            <w:pPr>
              <w:rPr>
                <w:b/>
              </w:rPr>
            </w:pPr>
            <w:r w:rsidRPr="00A64638">
              <w:rPr>
                <w:b/>
              </w:rPr>
              <w:t>Vul hier de Defensieve, neutrale en Offensieve percentages in voor het doorrekenen van de LC.</w:t>
            </w:r>
          </w:p>
        </w:tc>
      </w:tr>
      <w:tr w:rsidR="00A64638" w:rsidTr="00A64638">
        <w:tc>
          <w:tcPr>
            <w:tcW w:w="3055" w:type="dxa"/>
          </w:tcPr>
          <w:p w:rsidR="00A64638" w:rsidRDefault="00A64638" w:rsidP="00A64638">
            <w:r>
              <w:t>Staffel BP</w:t>
            </w:r>
            <w:r w:rsidR="00840734">
              <w:t xml:space="preserve"> (2)</w:t>
            </w:r>
          </w:p>
        </w:tc>
        <w:tc>
          <w:tcPr>
            <w:tcW w:w="3055" w:type="dxa"/>
          </w:tcPr>
          <w:p w:rsidR="00A64638" w:rsidRDefault="00A64638" w:rsidP="00A64638">
            <w:r>
              <w:t>Uitgangspunt voor de Beschikbare Premie, staffel</w:t>
            </w:r>
          </w:p>
        </w:tc>
        <w:tc>
          <w:tcPr>
            <w:tcW w:w="3056" w:type="dxa"/>
          </w:tcPr>
          <w:p w:rsidR="00A64638" w:rsidRPr="00A64638" w:rsidRDefault="00A64638" w:rsidP="00A64638">
            <w:pPr>
              <w:rPr>
                <w:b/>
              </w:rPr>
            </w:pPr>
            <w:r w:rsidRPr="00A64638">
              <w:rPr>
                <w:b/>
              </w:rPr>
              <w:t>Vul de correctie staffel in. Maar ook de premieverdeling WG/WN en NP%</w:t>
            </w:r>
          </w:p>
        </w:tc>
      </w:tr>
      <w:tr w:rsidR="00A64638" w:rsidTr="00A64638">
        <w:tc>
          <w:tcPr>
            <w:tcW w:w="3055" w:type="dxa"/>
          </w:tcPr>
          <w:p w:rsidR="00A64638" w:rsidRDefault="00A64638" w:rsidP="00A64638">
            <w:r>
              <w:t>Berekening Defensief uitkomst</w:t>
            </w:r>
          </w:p>
        </w:tc>
        <w:tc>
          <w:tcPr>
            <w:tcW w:w="3055" w:type="dxa"/>
          </w:tcPr>
          <w:p w:rsidR="00A64638" w:rsidRDefault="00A64638" w:rsidP="00A64638">
            <w:r>
              <w:t>Hier komen de uitkomsten binnen, kapitaal en aan te kopen pensioen.</w:t>
            </w:r>
          </w:p>
          <w:p w:rsidR="00A64638" w:rsidRDefault="00A64638" w:rsidP="00A64638">
            <w:r>
              <w:t>Op deze pagina ook de Defensieve tabel</w:t>
            </w:r>
          </w:p>
        </w:tc>
        <w:tc>
          <w:tcPr>
            <w:tcW w:w="3056" w:type="dxa"/>
          </w:tcPr>
          <w:p w:rsidR="00A64638" w:rsidRDefault="00A64638" w:rsidP="00A64638"/>
        </w:tc>
      </w:tr>
      <w:tr w:rsidR="00A64638" w:rsidTr="00A64638">
        <w:tc>
          <w:tcPr>
            <w:tcW w:w="3055" w:type="dxa"/>
          </w:tcPr>
          <w:p w:rsidR="00A64638" w:rsidRDefault="00A64638" w:rsidP="00A64638">
            <w:r>
              <w:t xml:space="preserve">Berekening </w:t>
            </w:r>
            <w:r>
              <w:t>Neutraal</w:t>
            </w:r>
            <w:r>
              <w:t xml:space="preserve"> uitkomst</w:t>
            </w:r>
          </w:p>
        </w:tc>
        <w:tc>
          <w:tcPr>
            <w:tcW w:w="3055" w:type="dxa"/>
          </w:tcPr>
          <w:p w:rsidR="00A64638" w:rsidRDefault="00A64638" w:rsidP="00A64638">
            <w:r>
              <w:t>Tabel voor Neutrale uitkomsten</w:t>
            </w:r>
          </w:p>
        </w:tc>
        <w:tc>
          <w:tcPr>
            <w:tcW w:w="3056" w:type="dxa"/>
          </w:tcPr>
          <w:p w:rsidR="00A64638" w:rsidRDefault="00A64638" w:rsidP="00A64638"/>
        </w:tc>
      </w:tr>
      <w:tr w:rsidR="00A64638" w:rsidTr="00A64638">
        <w:tc>
          <w:tcPr>
            <w:tcW w:w="3055" w:type="dxa"/>
          </w:tcPr>
          <w:p w:rsidR="00A64638" w:rsidRDefault="00A64638" w:rsidP="00A64638">
            <w:r>
              <w:lastRenderedPageBreak/>
              <w:t xml:space="preserve">Berekening </w:t>
            </w:r>
            <w:r>
              <w:t>Offensief</w:t>
            </w:r>
          </w:p>
          <w:p w:rsidR="00A64638" w:rsidRDefault="00A64638" w:rsidP="00A64638">
            <w:r>
              <w:t xml:space="preserve"> uitkomst</w:t>
            </w:r>
          </w:p>
        </w:tc>
        <w:tc>
          <w:tcPr>
            <w:tcW w:w="3055" w:type="dxa"/>
          </w:tcPr>
          <w:p w:rsidR="00A64638" w:rsidRDefault="00A64638" w:rsidP="00A64638">
            <w:r>
              <w:t>Tabel voor Offensieve uitkomsten</w:t>
            </w:r>
          </w:p>
        </w:tc>
        <w:tc>
          <w:tcPr>
            <w:tcW w:w="3056" w:type="dxa"/>
          </w:tcPr>
          <w:p w:rsidR="00A64638" w:rsidRDefault="00A64638" w:rsidP="00A64638"/>
        </w:tc>
      </w:tr>
    </w:tbl>
    <w:p w:rsidR="00A64638" w:rsidRDefault="00A64638" w:rsidP="00A64638"/>
    <w:p w:rsidR="00840734" w:rsidRPr="00840734" w:rsidRDefault="00840734" w:rsidP="00A64638">
      <w:pPr>
        <w:rPr>
          <w:b/>
        </w:rPr>
      </w:pPr>
      <w:r>
        <w:rPr>
          <w:b/>
        </w:rPr>
        <w:t>(1)</w:t>
      </w:r>
      <w:r>
        <w:rPr>
          <w:b/>
        </w:rPr>
        <w:tab/>
      </w:r>
      <w:r w:rsidRPr="00840734">
        <w:rPr>
          <w:b/>
        </w:rPr>
        <w:t>Vul de kolommen: F, J en O.</w:t>
      </w:r>
    </w:p>
    <w:p w:rsidR="00A64638" w:rsidRDefault="00840734" w:rsidP="00840734">
      <w:pPr>
        <w:jc w:val="center"/>
      </w:pPr>
      <w:r>
        <w:rPr>
          <w:noProof/>
          <w:lang w:eastAsia="nl-NL"/>
        </w:rPr>
        <w:drawing>
          <wp:inline distT="0" distB="0" distL="0" distR="0" wp14:anchorId="2213E245" wp14:editId="40A6011C">
            <wp:extent cx="5731510" cy="966274"/>
            <wp:effectExtent l="0" t="0" r="254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34" w:rsidRDefault="00840734" w:rsidP="00A64638"/>
    <w:p w:rsidR="00840734" w:rsidRPr="00840734" w:rsidRDefault="00840734" w:rsidP="00A64638">
      <w:pPr>
        <w:rPr>
          <w:b/>
        </w:rPr>
      </w:pPr>
      <w:r w:rsidRPr="00840734">
        <w:rPr>
          <w:b/>
        </w:rPr>
        <w:t>(2)</w:t>
      </w:r>
      <w:r w:rsidRPr="00840734">
        <w:rPr>
          <w:b/>
        </w:rPr>
        <w:tab/>
        <w:t>Vul de BP staffel in kolom C.</w:t>
      </w:r>
      <w:r w:rsidRPr="00840734">
        <w:rPr>
          <w:b/>
        </w:rPr>
        <w:tab/>
      </w:r>
    </w:p>
    <w:p w:rsidR="00840734" w:rsidRDefault="00840734" w:rsidP="00840734">
      <w:pPr>
        <w:jc w:val="center"/>
      </w:pPr>
      <w:r>
        <w:rPr>
          <w:noProof/>
          <w:lang w:eastAsia="nl-NL"/>
        </w:rPr>
        <w:drawing>
          <wp:inline distT="0" distB="0" distL="0" distR="0" wp14:anchorId="2413B5BC" wp14:editId="7A67A1DA">
            <wp:extent cx="2247900" cy="23145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34" w:rsidRDefault="00840734" w:rsidP="00A64638"/>
    <w:p w:rsidR="00840734" w:rsidRDefault="00840734" w:rsidP="00A64638">
      <w:r w:rsidRPr="00840734">
        <w:rPr>
          <w:b/>
        </w:rPr>
        <w:t>Stap 3</w:t>
      </w:r>
      <w:r>
        <w:t>.</w:t>
      </w:r>
    </w:p>
    <w:p w:rsidR="00840734" w:rsidRDefault="00840734" w:rsidP="00A64638">
      <w:r>
        <w:t>Upload de Excel  (Bedrijf &gt; Pensioenregeling), maar zorg ervoor dat de 2</w:t>
      </w:r>
      <w:r w:rsidRPr="00840734">
        <w:rPr>
          <w:vertAlign w:val="superscript"/>
        </w:rPr>
        <w:t>de</w:t>
      </w:r>
      <w:r>
        <w:t xml:space="preserve"> regel op de INPUT-tab leeg is.</w:t>
      </w:r>
    </w:p>
    <w:p w:rsidR="00840734" w:rsidRDefault="00840734" w:rsidP="00840734">
      <w:pPr>
        <w:jc w:val="center"/>
      </w:pPr>
      <w:r>
        <w:rPr>
          <w:noProof/>
          <w:lang w:eastAsia="nl-NL"/>
        </w:rPr>
        <w:drawing>
          <wp:inline distT="0" distB="0" distL="0" distR="0" wp14:anchorId="4848F56C" wp14:editId="4A8127DE">
            <wp:extent cx="5731510" cy="2201978"/>
            <wp:effectExtent l="0" t="0" r="254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734" w:rsidRDefault="00840734" w:rsidP="00840734">
      <w:pPr>
        <w:rPr>
          <w:b/>
        </w:rPr>
      </w:pPr>
      <w:r>
        <w:rPr>
          <w:b/>
        </w:rPr>
        <w:t>Stap 4</w:t>
      </w:r>
      <w:r>
        <w:rPr>
          <w:b/>
        </w:rPr>
        <w:tab/>
        <w:t>Bekijk de uitkomsten</w:t>
      </w:r>
    </w:p>
    <w:p w:rsidR="00840734" w:rsidRDefault="00840734" w:rsidP="00840734">
      <w:r>
        <w:t xml:space="preserve">Ga naar </w:t>
      </w:r>
      <w:hyperlink r:id="rId12" w:history="1">
        <w:r w:rsidRPr="007F4088">
          <w:rPr>
            <w:rStyle w:val="Hyperlink"/>
          </w:rPr>
          <w:t>https://eb.arbeidsvoorwaarden.com</w:t>
        </w:r>
      </w:hyperlink>
      <w:r>
        <w:t xml:space="preserve">  en ga naar de pagina; medewerker &gt; pensioen.</w:t>
      </w:r>
    </w:p>
    <w:p w:rsidR="000144F4" w:rsidRDefault="000144F4" w:rsidP="00840734">
      <w:r>
        <w:t xml:space="preserve">Op dit moment laten we op de eerste pagina de Neutrale Cyclus zien. Deze gegevens </w:t>
      </w:r>
      <w:proofErr w:type="spellStart"/>
      <w:r>
        <w:t>kijn</w:t>
      </w:r>
      <w:proofErr w:type="spellEnd"/>
      <w:r>
        <w:t xml:space="preserve"> ook verwerkt in de grafiek voor het OP.</w:t>
      </w:r>
    </w:p>
    <w:p w:rsidR="000144F4" w:rsidRDefault="000144F4" w:rsidP="000144F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731510" cy="2619375"/>
            <wp:effectExtent l="19050" t="19050" r="21590" b="285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69 Nov. 08 15.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9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44F4" w:rsidRDefault="000144F4" w:rsidP="00840734"/>
    <w:p w:rsidR="000144F4" w:rsidRDefault="000144F4" w:rsidP="00840734">
      <w:r>
        <w:t>Op de 2de pagina (met grafiek) treft u alle drie de waarden aan.</w:t>
      </w:r>
    </w:p>
    <w:p w:rsidR="00840734" w:rsidRDefault="000144F4" w:rsidP="000144F4">
      <w:pPr>
        <w:jc w:val="center"/>
      </w:pPr>
      <w:r>
        <w:rPr>
          <w:noProof/>
          <w:lang w:eastAsia="nl-NL"/>
        </w:rPr>
        <w:drawing>
          <wp:inline distT="0" distB="0" distL="0" distR="0" wp14:anchorId="4AAAB692" wp14:editId="122ADE93">
            <wp:extent cx="5731510" cy="2769617"/>
            <wp:effectExtent l="19050" t="19050" r="21590" b="1206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96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144F4" w:rsidRDefault="000144F4">
      <w:r>
        <w:br w:type="page"/>
      </w:r>
    </w:p>
    <w:p w:rsidR="000144F4" w:rsidRPr="000144F4" w:rsidRDefault="000144F4" w:rsidP="000144F4">
      <w:pPr>
        <w:rPr>
          <w:b/>
        </w:rPr>
      </w:pPr>
      <w:r w:rsidRPr="000144F4">
        <w:rPr>
          <w:b/>
        </w:rPr>
        <w:t>Export</w:t>
      </w:r>
    </w:p>
    <w:p w:rsidR="000144F4" w:rsidRDefault="000144F4" w:rsidP="000144F4">
      <w:r>
        <w:t>De 6 nieuwe velden zijn te exporteren middels de export module. De velden staan de betreffende pensioenregeling.</w:t>
      </w:r>
    </w:p>
    <w:p w:rsidR="00133D1B" w:rsidRDefault="00133D1B" w:rsidP="000144F4"/>
    <w:p w:rsidR="00133D1B" w:rsidRDefault="00133D1B" w:rsidP="000144F4">
      <w:pPr>
        <w:rPr>
          <w:b/>
        </w:rPr>
      </w:pPr>
      <w:r>
        <w:rPr>
          <w:b/>
        </w:rPr>
        <w:t>Integreren in Word/ PDF Sjablonen</w:t>
      </w:r>
    </w:p>
    <w:p w:rsidR="0084204E" w:rsidRDefault="0084204E" w:rsidP="000144F4">
      <w:r>
        <w:t>Op de applicatie: Bedrijf &gt; Formulieren &lt; “download”</w:t>
      </w:r>
    </w:p>
    <w:p w:rsidR="00133D1B" w:rsidRDefault="0084204E" w:rsidP="000144F4">
      <w:r>
        <w:rPr>
          <w:noProof/>
          <w:lang w:eastAsia="nl-NL"/>
        </w:rPr>
        <w:drawing>
          <wp:inline distT="0" distB="0" distL="0" distR="0">
            <wp:extent cx="5731510" cy="1437640"/>
            <wp:effectExtent l="19050" t="19050" r="21590" b="1016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_72 Nov. 08 16.4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76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4204E" w:rsidRDefault="0084204E" w:rsidP="000144F4">
      <w:r>
        <w:t>Of kijk even in de Help omgeving:</w:t>
      </w:r>
      <w:r w:rsidRPr="0084204E">
        <w:t xml:space="preserve"> </w:t>
      </w:r>
      <w:r>
        <w:t xml:space="preserve"> </w:t>
      </w:r>
      <w:hyperlink r:id="rId16" w:history="1">
        <w:r w:rsidRPr="007F4088">
          <w:rPr>
            <w:rStyle w:val="Hyperlink"/>
          </w:rPr>
          <w:t>http://eblinc.freshdesk.com/support/home</w:t>
        </w:r>
      </w:hyperlink>
    </w:p>
    <w:p w:rsidR="0084204E" w:rsidRDefault="0084204E" w:rsidP="000144F4">
      <w:r>
        <w:t>En zoek op “Formulier Velden”.</w:t>
      </w:r>
    </w:p>
    <w:p w:rsidR="0084204E" w:rsidRPr="0084204E" w:rsidRDefault="0084204E" w:rsidP="000144F4"/>
    <w:sectPr w:rsidR="0084204E" w:rsidRPr="0084204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8B" w:rsidRDefault="00F96A8B" w:rsidP="0084204E">
      <w:pPr>
        <w:spacing w:after="0" w:line="240" w:lineRule="auto"/>
      </w:pPr>
      <w:r>
        <w:separator/>
      </w:r>
    </w:p>
  </w:endnote>
  <w:endnote w:type="continuationSeparator" w:id="0">
    <w:p w:rsidR="00F96A8B" w:rsidRDefault="00F96A8B" w:rsidP="0084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8B" w:rsidRDefault="00F96A8B" w:rsidP="0084204E">
      <w:pPr>
        <w:spacing w:after="0" w:line="240" w:lineRule="auto"/>
      </w:pPr>
      <w:r>
        <w:separator/>
      </w:r>
    </w:p>
  </w:footnote>
  <w:footnote w:type="continuationSeparator" w:id="0">
    <w:p w:rsidR="00F96A8B" w:rsidRDefault="00F96A8B" w:rsidP="0084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4E" w:rsidRDefault="0084204E">
    <w:pPr>
      <w:pStyle w:val="Koptekst"/>
    </w:pPr>
    <w:r>
      <w:t>08112016</w:t>
    </w:r>
  </w:p>
  <w:p w:rsidR="0084204E" w:rsidRDefault="008420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38"/>
    <w:rsid w:val="000144F4"/>
    <w:rsid w:val="00133D1B"/>
    <w:rsid w:val="003B37EA"/>
    <w:rsid w:val="00840734"/>
    <w:rsid w:val="0084204E"/>
    <w:rsid w:val="00A64638"/>
    <w:rsid w:val="00F9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64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64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6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073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4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204E"/>
  </w:style>
  <w:style w:type="paragraph" w:styleId="Voettekst">
    <w:name w:val="footer"/>
    <w:basedOn w:val="Standaard"/>
    <w:link w:val="VoettekstChar"/>
    <w:uiPriority w:val="99"/>
    <w:unhideWhenUsed/>
    <w:rsid w:val="0084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646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646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63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073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4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204E"/>
  </w:style>
  <w:style w:type="paragraph" w:styleId="Voettekst">
    <w:name w:val="footer"/>
    <w:basedOn w:val="Standaard"/>
    <w:link w:val="VoettekstChar"/>
    <w:uiPriority w:val="99"/>
    <w:unhideWhenUsed/>
    <w:rsid w:val="00842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b.arbeidsvoorwaarden.co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eblinc.freshdesk.com/support/hom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Gerrit-Jan</dc:creator>
  <cp:lastModifiedBy>Gerrit-Jan</cp:lastModifiedBy>
  <cp:revision>2</cp:revision>
  <dcterms:created xsi:type="dcterms:W3CDTF">2016-11-08T15:45:00Z</dcterms:created>
  <dcterms:modified xsi:type="dcterms:W3CDTF">2016-11-08T15:45:00Z</dcterms:modified>
</cp:coreProperties>
</file>